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 xml:space="preserve">Подписан Указ о дополнительных социальных гарантиях для лиц, осуществляющих деятельность на новых территориях и территориях среднего уровня реагирования в сфере разработки робототехнических комплексов, систем связи, средств радиоэлектронного подавления, БПЛА </w:t>
      </w:r>
      <w:r>
        <w:rPr>
          <w:rFonts w:ascii="Times New Roman" w:hAnsi="Times New Roman"/>
          <w:b w:val="1"/>
          <w:sz w:val="28"/>
        </w:rPr>
        <w:t>и других технических средств</w:t>
      </w:r>
    </w:p>
    <w:p w14:paraId="03000000">
      <w:pPr>
        <w:spacing w:after="0" w:before="168"/>
        <w:ind w:firstLine="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Указ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Президента РФ от 31.10.2025 N 794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предоставлении дополнительных социальных гарантий лицам, выполняющим работы на территориях некоторых субъектов Российской Федерации, и членам их семей"</w:t>
      </w:r>
      <w:r>
        <w:rPr>
          <w:rFonts w:ascii="Times New Roman" w:hAnsi="Times New Roman"/>
          <w:sz w:val="28"/>
        </w:rPr>
        <w:t> </w:t>
      </w:r>
    </w:p>
    <w:p w14:paraId="04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Согласно Указу, в случае гибели указанных лиц либо их смерти до истечения одного года со дня получения увечья (ранения, травмы, контузии), наступившей вследствие такого увечья, близким родственникам, поименованным в настоящем Указе, полагается единовременная выплата в размере 5 млн рублей в равных долях.</w:t>
      </w:r>
    </w:p>
    <w:p w14:paraId="05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случае получения увечья осуществляется единовременная выплата в размере до 3 млн рублей в зависимости от степени тяжести полученного увечья, а при наступлении инвалидности, - 4 млн рублей с учетом выплаты, произведенной при получении этого увечья.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Получение указанных единовременных выплат не учитывается при определении права на получение иных мер социальной поддержки, предусмотренных законодательством.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Указ вступает в силу со дня его подписания и распространяется на правоотношения, возникшие с 30 сентября 2022 г.</w:t>
      </w:r>
    </w:p>
    <w:p w14:paraId="08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9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A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2025-11-11T15:09:59Z</dcterms:modified>
</cp:coreProperties>
</file>